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FC8"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Programme outcomes</w:t>
      </w:r>
    </w:p>
    <w:p w14:paraId="475069B1" w14:textId="77777777" w:rsid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Programme: BSc chemistry</w:t>
      </w:r>
    </w:p>
    <w:p w14:paraId="093D92CF" w14:textId="77777777" w:rsidR="00E64BE3" w:rsidRPr="00E64BE3" w:rsidRDefault="00E64BE3" w:rsidP="00E64BE3">
      <w:pPr>
        <w:spacing w:after="0" w:line="360" w:lineRule="auto"/>
        <w:rPr>
          <w:rFonts w:ascii="Times New Roman" w:hAnsi="Times New Roman" w:cs="Times New Roman"/>
          <w:sz w:val="26"/>
          <w:szCs w:val="26"/>
        </w:rPr>
      </w:pPr>
    </w:p>
    <w:p w14:paraId="72F38390"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 xml:space="preserve">Programme Outcomes (Generic Learning Outcomes) </w:t>
      </w:r>
    </w:p>
    <w:p w14:paraId="030B2A78"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As per OA-38 Ordinance Governing Undergraduate Programmes of Goa University, the following Generic Learning Outcomes serve as the Programme Outcomes (POs). These outcomes are common across disciplines and reflect the graduate attributes expected from all undergraduate students. The Programme Specific Outcomes (PSOs) listed thereafter are tailored for the B.Sc. Chemistry Programme in alignment with the University’s framework.</w:t>
      </w:r>
    </w:p>
    <w:p w14:paraId="5E68FA82"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Programme Outcomes (Generic Learning Outcomes)</w:t>
      </w:r>
    </w:p>
    <w:p w14:paraId="7C5F40EA"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1.</w:t>
      </w:r>
      <w:r w:rsidRPr="00E64BE3">
        <w:rPr>
          <w:rFonts w:ascii="Times New Roman" w:hAnsi="Times New Roman" w:cs="Times New Roman"/>
          <w:sz w:val="26"/>
          <w:szCs w:val="26"/>
        </w:rPr>
        <w:tab/>
        <w:t>PO1: Complex Problem Solving – The capability to solve different kinds of problems and apply learning to real-life situations.</w:t>
      </w:r>
    </w:p>
    <w:p w14:paraId="6D4A533B"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2.</w:t>
      </w:r>
      <w:r w:rsidRPr="00E64BE3">
        <w:rPr>
          <w:rFonts w:ascii="Times New Roman" w:hAnsi="Times New Roman" w:cs="Times New Roman"/>
          <w:sz w:val="26"/>
          <w:szCs w:val="26"/>
        </w:rPr>
        <w:tab/>
        <w:t>PO2: Critical Thinking – The capability to apply analytic thought to a body of knowledge.</w:t>
      </w:r>
    </w:p>
    <w:p w14:paraId="5767F2F2"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3.</w:t>
      </w:r>
      <w:r w:rsidRPr="00E64BE3">
        <w:rPr>
          <w:rFonts w:ascii="Times New Roman" w:hAnsi="Times New Roman" w:cs="Times New Roman"/>
          <w:sz w:val="26"/>
          <w:szCs w:val="26"/>
        </w:rPr>
        <w:tab/>
        <w:t>PO3: Creativity – The ability to create knowledge and seek solutions to complex problems and situations using innovative, imaginative, and lateral thinking.</w:t>
      </w:r>
    </w:p>
    <w:p w14:paraId="49E01923"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4.</w:t>
      </w:r>
      <w:r w:rsidRPr="00E64BE3">
        <w:rPr>
          <w:rFonts w:ascii="Times New Roman" w:hAnsi="Times New Roman" w:cs="Times New Roman"/>
          <w:sz w:val="26"/>
          <w:szCs w:val="26"/>
        </w:rPr>
        <w:tab/>
        <w:t>PO4: Communication Skills – Listening, reading, analytical and interpretation skills using correct technical language related to the field of learning, and conveying ideas and arguments respectfully.</w:t>
      </w:r>
    </w:p>
    <w:p w14:paraId="35312AC8"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5.</w:t>
      </w:r>
      <w:r w:rsidRPr="00E64BE3">
        <w:rPr>
          <w:rFonts w:ascii="Times New Roman" w:hAnsi="Times New Roman" w:cs="Times New Roman"/>
          <w:sz w:val="26"/>
          <w:szCs w:val="26"/>
        </w:rPr>
        <w:tab/>
        <w:t>PO5: Analytical Reasoning/Thinking – The capability to evaluate reliability and relevance of evidence, identify logical flaws, analyze and synthesize data, and draw valid conclusions.</w:t>
      </w:r>
    </w:p>
    <w:p w14:paraId="3A43170B"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6.</w:t>
      </w:r>
      <w:r w:rsidRPr="00E64BE3">
        <w:rPr>
          <w:rFonts w:ascii="Times New Roman" w:hAnsi="Times New Roman" w:cs="Times New Roman"/>
          <w:sz w:val="26"/>
          <w:szCs w:val="26"/>
        </w:rPr>
        <w:tab/>
        <w:t>PO6: Research-related Skills – A keen sense of observation, inquiry, and capability to problematize, synthesize, and design proposals and undertake research.</w:t>
      </w:r>
    </w:p>
    <w:p w14:paraId="3AD7D96A"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7.</w:t>
      </w:r>
      <w:r w:rsidRPr="00E64BE3">
        <w:rPr>
          <w:rFonts w:ascii="Times New Roman" w:hAnsi="Times New Roman" w:cs="Times New Roman"/>
          <w:sz w:val="26"/>
          <w:szCs w:val="26"/>
        </w:rPr>
        <w:tab/>
        <w:t>PO7: Coordinating/Collaborating Skills – The ability to work effectively and respectfully with diverse teams to achieve a common goal.</w:t>
      </w:r>
    </w:p>
    <w:p w14:paraId="05BC77E0"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8.</w:t>
      </w:r>
      <w:r w:rsidRPr="00E64BE3">
        <w:rPr>
          <w:rFonts w:ascii="Times New Roman" w:hAnsi="Times New Roman" w:cs="Times New Roman"/>
          <w:sz w:val="26"/>
          <w:szCs w:val="26"/>
        </w:rPr>
        <w:tab/>
        <w:t>PO8: Leadership Readiness/Qualities – The capability to organize, direct, and inspire a team to work toward a shared vision.</w:t>
      </w:r>
    </w:p>
    <w:p w14:paraId="2A4F80FA"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lastRenderedPageBreak/>
        <w:t>9.</w:t>
      </w:r>
      <w:r w:rsidRPr="00E64BE3">
        <w:rPr>
          <w:rFonts w:ascii="Times New Roman" w:hAnsi="Times New Roman" w:cs="Times New Roman"/>
          <w:sz w:val="26"/>
          <w:szCs w:val="26"/>
        </w:rPr>
        <w:tab/>
        <w:t>PO9: Learning How to Learn Skills – The ability to acquire new knowledge and skills independently for lifelong learning and personal growth.</w:t>
      </w:r>
    </w:p>
    <w:p w14:paraId="4713BDED" w14:textId="77777777"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10.</w:t>
      </w:r>
      <w:r w:rsidRPr="00E64BE3">
        <w:rPr>
          <w:rFonts w:ascii="Times New Roman" w:hAnsi="Times New Roman" w:cs="Times New Roman"/>
          <w:sz w:val="26"/>
          <w:szCs w:val="26"/>
        </w:rPr>
        <w:tab/>
        <w:t>PO10: Digital and Technological Skills – The capability to use ICT effectively for learning, analysis, and problem-solving.</w:t>
      </w:r>
    </w:p>
    <w:p w14:paraId="5FA4BC77" w14:textId="77777777" w:rsidR="00E64BE3" w:rsidRDefault="00E64BE3" w:rsidP="00E64BE3">
      <w:pPr>
        <w:tabs>
          <w:tab w:val="left" w:pos="567"/>
        </w:tabs>
        <w:spacing w:after="0" w:line="360" w:lineRule="auto"/>
        <w:ind w:left="426" w:hanging="426"/>
        <w:jc w:val="both"/>
        <w:rPr>
          <w:rFonts w:ascii="Times New Roman" w:hAnsi="Times New Roman" w:cs="Times New Roman"/>
          <w:sz w:val="26"/>
          <w:szCs w:val="26"/>
        </w:rPr>
      </w:pPr>
      <w:r w:rsidRPr="00E64BE3">
        <w:rPr>
          <w:rFonts w:ascii="Times New Roman" w:hAnsi="Times New Roman" w:cs="Times New Roman"/>
          <w:sz w:val="26"/>
          <w:szCs w:val="26"/>
        </w:rPr>
        <w:t>11.</w:t>
      </w:r>
      <w:r w:rsidRPr="00E64BE3">
        <w:rPr>
          <w:rFonts w:ascii="Times New Roman" w:hAnsi="Times New Roman" w:cs="Times New Roman"/>
          <w:sz w:val="26"/>
          <w:szCs w:val="26"/>
        </w:rPr>
        <w:tab/>
        <w:t>PO1</w:t>
      </w:r>
      <w:r>
        <w:rPr>
          <w:rFonts w:ascii="Times New Roman" w:hAnsi="Times New Roman" w:cs="Times New Roman"/>
          <w:sz w:val="26"/>
          <w:szCs w:val="26"/>
        </w:rPr>
        <w:t>1</w:t>
      </w:r>
      <w:r w:rsidRPr="00E64BE3">
        <w:rPr>
          <w:rFonts w:ascii="Times New Roman" w:hAnsi="Times New Roman" w:cs="Times New Roman"/>
          <w:sz w:val="26"/>
          <w:szCs w:val="26"/>
        </w:rPr>
        <w:t>:</w:t>
      </w:r>
      <w:r>
        <w:rPr>
          <w:rFonts w:ascii="Times New Roman" w:hAnsi="Times New Roman" w:cs="Times New Roman"/>
          <w:sz w:val="26"/>
          <w:szCs w:val="26"/>
        </w:rPr>
        <w:t xml:space="preserve"> </w:t>
      </w:r>
      <w:r w:rsidRPr="00E64BE3">
        <w:rPr>
          <w:rFonts w:ascii="Times New Roman" w:hAnsi="Times New Roman" w:cs="Times New Roman"/>
          <w:sz w:val="26"/>
          <w:szCs w:val="26"/>
        </w:rPr>
        <w:t>Multicultural competence and inclusive spirit: To demonstrate the</w:t>
      </w:r>
      <w:r>
        <w:rPr>
          <w:rFonts w:ascii="Times New Roman" w:hAnsi="Times New Roman" w:cs="Times New Roman"/>
          <w:sz w:val="26"/>
          <w:szCs w:val="26"/>
        </w:rPr>
        <w:t xml:space="preserve"> </w:t>
      </w:r>
      <w:r w:rsidRPr="00E64BE3">
        <w:rPr>
          <w:rFonts w:ascii="Times New Roman" w:hAnsi="Times New Roman" w:cs="Times New Roman"/>
          <w:sz w:val="26"/>
          <w:szCs w:val="26"/>
        </w:rPr>
        <w:t>acquisition of knowledge of the values and beliefs of multiple</w:t>
      </w:r>
      <w:r>
        <w:rPr>
          <w:rFonts w:ascii="Times New Roman" w:hAnsi="Times New Roman" w:cs="Times New Roman"/>
          <w:sz w:val="26"/>
          <w:szCs w:val="26"/>
        </w:rPr>
        <w:t xml:space="preserve"> </w:t>
      </w:r>
      <w:r w:rsidRPr="00E64BE3">
        <w:rPr>
          <w:rFonts w:ascii="Times New Roman" w:hAnsi="Times New Roman" w:cs="Times New Roman"/>
          <w:sz w:val="26"/>
          <w:szCs w:val="26"/>
        </w:rPr>
        <w:t>cultures anda global perspective to honour diversity, gender</w:t>
      </w:r>
      <w:r>
        <w:rPr>
          <w:rFonts w:ascii="Times New Roman" w:hAnsi="Times New Roman" w:cs="Times New Roman"/>
          <w:sz w:val="26"/>
          <w:szCs w:val="26"/>
        </w:rPr>
        <w:t xml:space="preserve"> </w:t>
      </w:r>
      <w:r w:rsidRPr="00E64BE3">
        <w:rPr>
          <w:rFonts w:ascii="Times New Roman" w:hAnsi="Times New Roman" w:cs="Times New Roman"/>
          <w:sz w:val="26"/>
          <w:szCs w:val="26"/>
        </w:rPr>
        <w:t>sensitivity, adopting a gender-neutral approach, as also empathy</w:t>
      </w:r>
      <w:r>
        <w:rPr>
          <w:rFonts w:ascii="Times New Roman" w:hAnsi="Times New Roman" w:cs="Times New Roman"/>
          <w:sz w:val="26"/>
          <w:szCs w:val="26"/>
        </w:rPr>
        <w:t xml:space="preserve"> </w:t>
      </w:r>
      <w:r w:rsidRPr="00E64BE3">
        <w:rPr>
          <w:rFonts w:ascii="Times New Roman" w:hAnsi="Times New Roman" w:cs="Times New Roman"/>
          <w:sz w:val="26"/>
          <w:szCs w:val="26"/>
        </w:rPr>
        <w:t>for the less advantaged and the differently-abled including those</w:t>
      </w:r>
      <w:r>
        <w:rPr>
          <w:rFonts w:ascii="Times New Roman" w:hAnsi="Times New Roman" w:cs="Times New Roman"/>
          <w:sz w:val="26"/>
          <w:szCs w:val="26"/>
        </w:rPr>
        <w:t xml:space="preserve"> </w:t>
      </w:r>
      <w:r w:rsidRPr="00E64BE3">
        <w:rPr>
          <w:rFonts w:ascii="Times New Roman" w:hAnsi="Times New Roman" w:cs="Times New Roman"/>
          <w:sz w:val="26"/>
          <w:szCs w:val="26"/>
        </w:rPr>
        <w:t>with learning disabilities.</w:t>
      </w:r>
    </w:p>
    <w:p w14:paraId="5B6A1566" w14:textId="522C0270" w:rsidR="00E64BE3" w:rsidRPr="00E64BE3" w:rsidRDefault="00E64BE3" w:rsidP="00E64BE3">
      <w:pPr>
        <w:tabs>
          <w:tab w:val="left" w:pos="567"/>
        </w:tabs>
        <w:spacing w:after="0"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 xml:space="preserve">12. </w:t>
      </w:r>
      <w:r w:rsidRPr="00E64BE3">
        <w:rPr>
          <w:rFonts w:ascii="Times New Roman" w:hAnsi="Times New Roman" w:cs="Times New Roman"/>
          <w:sz w:val="26"/>
          <w:szCs w:val="26"/>
        </w:rPr>
        <w:t>PO12: Value Inculcation – Demonstrate ethical, constitutional, and humanistic values in personal and professional life.</w:t>
      </w:r>
    </w:p>
    <w:p w14:paraId="0FC3BDE7" w14:textId="5A09FA73"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1</w:t>
      </w:r>
      <w:r>
        <w:rPr>
          <w:rFonts w:ascii="Times New Roman" w:hAnsi="Times New Roman" w:cs="Times New Roman"/>
          <w:sz w:val="26"/>
          <w:szCs w:val="26"/>
        </w:rPr>
        <w:t>3</w:t>
      </w:r>
      <w:r w:rsidRPr="00E64BE3">
        <w:rPr>
          <w:rFonts w:ascii="Times New Roman" w:hAnsi="Times New Roman" w:cs="Times New Roman"/>
          <w:sz w:val="26"/>
          <w:szCs w:val="26"/>
        </w:rPr>
        <w:t>.</w:t>
      </w:r>
      <w:r w:rsidRPr="00E64BE3">
        <w:rPr>
          <w:rFonts w:ascii="Times New Roman" w:hAnsi="Times New Roman" w:cs="Times New Roman"/>
          <w:sz w:val="26"/>
          <w:szCs w:val="26"/>
        </w:rPr>
        <w:tab/>
        <w:t>PO13: Autonomy, Responsibility, and Accountability – The ability to work independently with integrity and accountability.</w:t>
      </w:r>
    </w:p>
    <w:p w14:paraId="63590435" w14:textId="05743D96" w:rsidR="00E64BE3" w:rsidRDefault="00E64BE3" w:rsidP="00E64BE3">
      <w:pPr>
        <w:tabs>
          <w:tab w:val="left" w:pos="567"/>
        </w:tabs>
        <w:spacing w:after="0" w:line="360" w:lineRule="auto"/>
        <w:ind w:left="426" w:hanging="426"/>
        <w:rPr>
          <w:rFonts w:ascii="Times New Roman" w:hAnsi="Times New Roman" w:cs="Times New Roman"/>
          <w:sz w:val="26"/>
          <w:szCs w:val="26"/>
        </w:rPr>
      </w:pPr>
      <w:r w:rsidRPr="00E64BE3">
        <w:rPr>
          <w:rFonts w:ascii="Times New Roman" w:hAnsi="Times New Roman" w:cs="Times New Roman"/>
          <w:sz w:val="26"/>
          <w:szCs w:val="26"/>
        </w:rPr>
        <w:t>1</w:t>
      </w:r>
      <w:r>
        <w:rPr>
          <w:rFonts w:ascii="Times New Roman" w:hAnsi="Times New Roman" w:cs="Times New Roman"/>
          <w:sz w:val="26"/>
          <w:szCs w:val="26"/>
        </w:rPr>
        <w:t>4</w:t>
      </w:r>
      <w:r w:rsidRPr="00E64BE3">
        <w:rPr>
          <w:rFonts w:ascii="Times New Roman" w:hAnsi="Times New Roman" w:cs="Times New Roman"/>
          <w:sz w:val="26"/>
          <w:szCs w:val="26"/>
        </w:rPr>
        <w:t>.</w:t>
      </w:r>
      <w:r w:rsidRPr="00E64BE3">
        <w:rPr>
          <w:rFonts w:ascii="Times New Roman" w:hAnsi="Times New Roman" w:cs="Times New Roman"/>
          <w:sz w:val="26"/>
          <w:szCs w:val="26"/>
        </w:rPr>
        <w:tab/>
        <w:t>PO14: Environmental Awareness and Action – Knowledge and skills for sustainable development and global environmental responsibility.</w:t>
      </w:r>
    </w:p>
    <w:p w14:paraId="01A0DF55" w14:textId="77777777" w:rsidR="00E64BE3" w:rsidRDefault="00E64BE3" w:rsidP="00E64BE3">
      <w:pPr>
        <w:tabs>
          <w:tab w:val="left" w:pos="567"/>
        </w:tabs>
        <w:spacing w:after="0" w:line="360" w:lineRule="auto"/>
        <w:ind w:left="426" w:hanging="426"/>
        <w:rPr>
          <w:rFonts w:ascii="Times New Roman" w:hAnsi="Times New Roman" w:cs="Times New Roman"/>
          <w:sz w:val="26"/>
          <w:szCs w:val="26"/>
        </w:rPr>
      </w:pPr>
      <w:r>
        <w:rPr>
          <w:rFonts w:ascii="Times New Roman" w:hAnsi="Times New Roman" w:cs="Times New Roman"/>
          <w:sz w:val="26"/>
          <w:szCs w:val="26"/>
        </w:rPr>
        <w:t xml:space="preserve">15. PO15: </w:t>
      </w:r>
      <w:r w:rsidRPr="00E64BE3">
        <w:rPr>
          <w:rFonts w:ascii="Times New Roman" w:hAnsi="Times New Roman" w:cs="Times New Roman"/>
          <w:sz w:val="26"/>
          <w:szCs w:val="26"/>
        </w:rPr>
        <w:t>Community engagement and service: To demonstrate the</w:t>
      </w:r>
      <w:r>
        <w:rPr>
          <w:rFonts w:ascii="Times New Roman" w:hAnsi="Times New Roman" w:cs="Times New Roman"/>
          <w:sz w:val="26"/>
          <w:szCs w:val="26"/>
        </w:rPr>
        <w:t xml:space="preserve"> </w:t>
      </w:r>
      <w:r w:rsidRPr="00E64BE3">
        <w:rPr>
          <w:rFonts w:ascii="Times New Roman" w:hAnsi="Times New Roman" w:cs="Times New Roman"/>
          <w:sz w:val="26"/>
          <w:szCs w:val="26"/>
        </w:rPr>
        <w:t>capability to participate in community-engaged services/ activities</w:t>
      </w:r>
      <w:r>
        <w:rPr>
          <w:rFonts w:ascii="Times New Roman" w:hAnsi="Times New Roman" w:cs="Times New Roman"/>
          <w:sz w:val="26"/>
          <w:szCs w:val="26"/>
        </w:rPr>
        <w:t xml:space="preserve"> </w:t>
      </w:r>
      <w:r w:rsidRPr="00E64BE3">
        <w:rPr>
          <w:rFonts w:ascii="Times New Roman" w:hAnsi="Times New Roman" w:cs="Times New Roman"/>
          <w:sz w:val="26"/>
          <w:szCs w:val="26"/>
        </w:rPr>
        <w:t>for promoting the wellbeing of society.</w:t>
      </w:r>
      <w:r>
        <w:rPr>
          <w:rFonts w:ascii="Times New Roman" w:hAnsi="Times New Roman" w:cs="Times New Roman"/>
          <w:sz w:val="26"/>
          <w:szCs w:val="26"/>
        </w:rPr>
        <w:t xml:space="preserve"> </w:t>
      </w:r>
    </w:p>
    <w:p w14:paraId="344C5FA0" w14:textId="3A14462B" w:rsidR="00E64BE3" w:rsidRPr="00E64BE3" w:rsidRDefault="00E64BE3" w:rsidP="00E64BE3">
      <w:pPr>
        <w:tabs>
          <w:tab w:val="left" w:pos="567"/>
        </w:tabs>
        <w:spacing w:after="0" w:line="360" w:lineRule="auto"/>
        <w:ind w:left="426" w:hanging="426"/>
        <w:rPr>
          <w:rFonts w:ascii="Times New Roman" w:hAnsi="Times New Roman" w:cs="Times New Roman"/>
          <w:sz w:val="26"/>
          <w:szCs w:val="26"/>
        </w:rPr>
      </w:pPr>
      <w:r>
        <w:rPr>
          <w:rFonts w:ascii="Times New Roman" w:hAnsi="Times New Roman" w:cs="Times New Roman"/>
          <w:sz w:val="26"/>
          <w:szCs w:val="26"/>
        </w:rPr>
        <w:t xml:space="preserve">16. PO16: </w:t>
      </w:r>
      <w:r w:rsidRPr="00E64BE3">
        <w:rPr>
          <w:rFonts w:ascii="Times New Roman" w:hAnsi="Times New Roman" w:cs="Times New Roman"/>
          <w:sz w:val="26"/>
          <w:szCs w:val="26"/>
        </w:rPr>
        <w:t>Empathy: To demonstrate the ability to identify with or</w:t>
      </w:r>
      <w:r>
        <w:rPr>
          <w:rFonts w:ascii="Times New Roman" w:hAnsi="Times New Roman" w:cs="Times New Roman"/>
          <w:sz w:val="26"/>
          <w:szCs w:val="26"/>
        </w:rPr>
        <w:t xml:space="preserve"> </w:t>
      </w:r>
      <w:r w:rsidRPr="00E64BE3">
        <w:rPr>
          <w:rFonts w:ascii="Times New Roman" w:hAnsi="Times New Roman" w:cs="Times New Roman"/>
          <w:sz w:val="26"/>
          <w:szCs w:val="26"/>
        </w:rPr>
        <w:t>understand the perspective, experiences, or points of view of</w:t>
      </w:r>
      <w:r>
        <w:rPr>
          <w:rFonts w:ascii="Times New Roman" w:hAnsi="Times New Roman" w:cs="Times New Roman"/>
          <w:sz w:val="26"/>
          <w:szCs w:val="26"/>
        </w:rPr>
        <w:t xml:space="preserve"> </w:t>
      </w:r>
      <w:r w:rsidRPr="00E64BE3">
        <w:rPr>
          <w:rFonts w:ascii="Times New Roman" w:hAnsi="Times New Roman" w:cs="Times New Roman"/>
          <w:sz w:val="26"/>
          <w:szCs w:val="26"/>
        </w:rPr>
        <w:t>another individual or group, and to identify and understand other</w:t>
      </w:r>
      <w:r>
        <w:rPr>
          <w:rFonts w:ascii="Times New Roman" w:hAnsi="Times New Roman" w:cs="Times New Roman"/>
          <w:sz w:val="26"/>
          <w:szCs w:val="26"/>
        </w:rPr>
        <w:t xml:space="preserve"> </w:t>
      </w:r>
      <w:r w:rsidRPr="00E64BE3">
        <w:rPr>
          <w:rFonts w:ascii="Times New Roman" w:hAnsi="Times New Roman" w:cs="Times New Roman"/>
          <w:sz w:val="26"/>
          <w:szCs w:val="26"/>
        </w:rPr>
        <w:t>people’s emotions.</w:t>
      </w:r>
    </w:p>
    <w:p w14:paraId="6903556B" w14:textId="77777777" w:rsidR="00E64BE3" w:rsidRDefault="00E64BE3" w:rsidP="00E64BE3">
      <w:pPr>
        <w:spacing w:after="0" w:line="360" w:lineRule="auto"/>
        <w:rPr>
          <w:rFonts w:ascii="Times New Roman" w:hAnsi="Times New Roman" w:cs="Times New Roman"/>
          <w:sz w:val="26"/>
          <w:szCs w:val="26"/>
        </w:rPr>
      </w:pPr>
    </w:p>
    <w:p w14:paraId="03BA727C" w14:textId="77777777" w:rsidR="00E64BE3" w:rsidRDefault="00E64BE3" w:rsidP="00E64BE3">
      <w:pPr>
        <w:spacing w:after="0" w:line="360" w:lineRule="auto"/>
        <w:rPr>
          <w:rFonts w:ascii="Times New Roman" w:hAnsi="Times New Roman" w:cs="Times New Roman"/>
          <w:sz w:val="26"/>
          <w:szCs w:val="26"/>
        </w:rPr>
      </w:pPr>
    </w:p>
    <w:p w14:paraId="3B73B396" w14:textId="77777777" w:rsidR="00E64BE3" w:rsidRDefault="00E64BE3" w:rsidP="00E64BE3">
      <w:pPr>
        <w:spacing w:after="0" w:line="360" w:lineRule="auto"/>
        <w:rPr>
          <w:rFonts w:ascii="Times New Roman" w:hAnsi="Times New Roman" w:cs="Times New Roman"/>
          <w:sz w:val="26"/>
          <w:szCs w:val="26"/>
        </w:rPr>
      </w:pPr>
    </w:p>
    <w:p w14:paraId="59859326" w14:textId="77777777" w:rsidR="00E64BE3" w:rsidRDefault="00E64BE3" w:rsidP="00E64BE3">
      <w:pPr>
        <w:spacing w:after="0" w:line="360" w:lineRule="auto"/>
        <w:rPr>
          <w:rFonts w:ascii="Times New Roman" w:hAnsi="Times New Roman" w:cs="Times New Roman"/>
          <w:sz w:val="26"/>
          <w:szCs w:val="26"/>
        </w:rPr>
      </w:pPr>
    </w:p>
    <w:p w14:paraId="45811A66" w14:textId="77777777" w:rsidR="00E64BE3" w:rsidRDefault="00E64BE3" w:rsidP="00E64BE3">
      <w:pPr>
        <w:spacing w:after="0" w:line="360" w:lineRule="auto"/>
        <w:rPr>
          <w:rFonts w:ascii="Times New Roman" w:hAnsi="Times New Roman" w:cs="Times New Roman"/>
          <w:sz w:val="26"/>
          <w:szCs w:val="26"/>
        </w:rPr>
      </w:pPr>
    </w:p>
    <w:p w14:paraId="69CF2930" w14:textId="77777777" w:rsidR="00E64BE3" w:rsidRDefault="00E64BE3" w:rsidP="00E64BE3">
      <w:pPr>
        <w:spacing w:after="0" w:line="360" w:lineRule="auto"/>
        <w:rPr>
          <w:rFonts w:ascii="Times New Roman" w:hAnsi="Times New Roman" w:cs="Times New Roman"/>
          <w:sz w:val="26"/>
          <w:szCs w:val="26"/>
        </w:rPr>
      </w:pPr>
    </w:p>
    <w:p w14:paraId="0C3A686D" w14:textId="77777777" w:rsidR="00E64BE3" w:rsidRDefault="00E64BE3" w:rsidP="00E64BE3">
      <w:pPr>
        <w:spacing w:after="0" w:line="360" w:lineRule="auto"/>
        <w:rPr>
          <w:rFonts w:ascii="Times New Roman" w:hAnsi="Times New Roman" w:cs="Times New Roman"/>
          <w:sz w:val="26"/>
          <w:szCs w:val="26"/>
        </w:rPr>
      </w:pPr>
    </w:p>
    <w:p w14:paraId="163944B2" w14:textId="77777777" w:rsidR="00E64BE3" w:rsidRDefault="00E64BE3" w:rsidP="00E64BE3">
      <w:pPr>
        <w:spacing w:after="0" w:line="360" w:lineRule="auto"/>
        <w:rPr>
          <w:rFonts w:ascii="Times New Roman" w:hAnsi="Times New Roman" w:cs="Times New Roman"/>
          <w:sz w:val="26"/>
          <w:szCs w:val="26"/>
        </w:rPr>
      </w:pPr>
    </w:p>
    <w:p w14:paraId="488AE693" w14:textId="77777777" w:rsidR="00E64BE3" w:rsidRDefault="00E64BE3" w:rsidP="00E64BE3">
      <w:pPr>
        <w:spacing w:after="0" w:line="360" w:lineRule="auto"/>
        <w:rPr>
          <w:rFonts w:ascii="Times New Roman" w:hAnsi="Times New Roman" w:cs="Times New Roman"/>
          <w:sz w:val="26"/>
          <w:szCs w:val="26"/>
        </w:rPr>
      </w:pPr>
    </w:p>
    <w:p w14:paraId="40579FEF" w14:textId="77777777" w:rsidR="00E64BE3" w:rsidRDefault="00E64BE3" w:rsidP="00E64BE3">
      <w:pPr>
        <w:spacing w:after="0" w:line="360" w:lineRule="auto"/>
        <w:rPr>
          <w:rFonts w:ascii="Times New Roman" w:hAnsi="Times New Roman" w:cs="Times New Roman"/>
          <w:sz w:val="26"/>
          <w:szCs w:val="26"/>
        </w:rPr>
      </w:pPr>
    </w:p>
    <w:p w14:paraId="0D0ACFBE" w14:textId="77777777" w:rsidR="00E64BE3" w:rsidRDefault="00E64BE3" w:rsidP="00E64BE3">
      <w:pPr>
        <w:spacing w:after="0" w:line="360" w:lineRule="auto"/>
        <w:rPr>
          <w:rFonts w:ascii="Times New Roman" w:hAnsi="Times New Roman" w:cs="Times New Roman"/>
          <w:sz w:val="26"/>
          <w:szCs w:val="26"/>
        </w:rPr>
      </w:pPr>
    </w:p>
    <w:p w14:paraId="3DCD101B" w14:textId="77777777" w:rsidR="00E64BE3" w:rsidRDefault="00E64BE3" w:rsidP="00E64BE3">
      <w:pPr>
        <w:spacing w:after="0" w:line="360" w:lineRule="auto"/>
        <w:rPr>
          <w:rFonts w:ascii="Times New Roman" w:hAnsi="Times New Roman" w:cs="Times New Roman"/>
          <w:sz w:val="26"/>
          <w:szCs w:val="26"/>
        </w:rPr>
      </w:pPr>
    </w:p>
    <w:p w14:paraId="3FF0E6DA"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Programme-Specific Outcomes (PSOs) – B.Sc. Chemistry (NEP, Goa University)</w:t>
      </w:r>
    </w:p>
    <w:p w14:paraId="17D51223"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1 – Fundamental Chemical Knowledge</w:t>
      </w:r>
    </w:p>
    <w:p w14:paraId="6425937E"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Demonstrate a thorough understanding of the fundamental concepts of inorganic, organic, physical, and analytical chemistry, their interrelationship, and applications in explaining physical and chemical phenomena.</w:t>
      </w:r>
    </w:p>
    <w:p w14:paraId="10982D41"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(Mapped to PO1, PO2, PO5, PO9).</w:t>
      </w:r>
    </w:p>
    <w:p w14:paraId="390CE058"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2 – Experimental and Analytical Competence</w:t>
      </w:r>
    </w:p>
    <w:p w14:paraId="3E075F9E"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Perform qualitative and quantitative analyses, operate laboratory instruments, and follow safety and ethical guidelines while maintaining accurate records and reproducible results.</w:t>
      </w:r>
    </w:p>
    <w:p w14:paraId="3BEC0D76"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(PO1, PO6, PO10, PO13).</w:t>
      </w:r>
    </w:p>
    <w:p w14:paraId="69CD3245"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3 – Chemical Data Interpretation and Problem Solving</w:t>
      </w:r>
    </w:p>
    <w:p w14:paraId="000E6912"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Apply analytical reasoning and computational or mathematical tools to interpret spectra, reaction kinetics, thermodynamic data, and analytical results.</w:t>
      </w:r>
    </w:p>
    <w:p w14:paraId="43E18F83"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(PO2, PO5, PO10).</w:t>
      </w:r>
    </w:p>
    <w:p w14:paraId="3F4B625E"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4 – Green Chemistry and Sustainability Awareness</w:t>
      </w:r>
    </w:p>
    <w:p w14:paraId="4A098617"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Design and evaluate eco-friendly chemical processes based on the principles of green chemistry and sustainability, demonstrating environmental responsibility.</w:t>
      </w:r>
    </w:p>
    <w:p w14:paraId="6A6A074E"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(PO3, PO12, PO14).</w:t>
      </w:r>
    </w:p>
    <w:p w14:paraId="00A72B35"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5 – Research and Innovation Skills</w:t>
      </w:r>
    </w:p>
    <w:p w14:paraId="28314B00"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Plan and conduct research investigations, formulate hypotheses, collect and analyze data, and communicate findings in written and oral scientific formats.</w:t>
      </w:r>
    </w:p>
    <w:p w14:paraId="06170211"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(PO2, PO6, PO4, PO12).</w:t>
      </w:r>
    </w:p>
    <w:p w14:paraId="3BB6F498"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6 – Industrial and Interdisciplinary Relevance</w:t>
      </w:r>
    </w:p>
    <w:p w14:paraId="74D24611"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Apply chemical principles to pharmaceutical, environmental, and materials science contexts, understanding industrial operations, instrumentation, and intellectual-property aspects.</w:t>
      </w:r>
    </w:p>
    <w:p w14:paraId="41D6F06A"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(PO1, PO5, PO9, PO10).</w:t>
      </w:r>
    </w:p>
    <w:p w14:paraId="6DD1DE42"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7 – Ethical, Responsible, and Independent Practice</w:t>
      </w:r>
    </w:p>
    <w:p w14:paraId="27487C52"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lastRenderedPageBreak/>
        <w:t>Demonstrate integrity, accuracy, and ethical responsibility in all laboratory and professional practices, adhering to environmental and safety regulations.</w:t>
      </w:r>
    </w:p>
    <w:p w14:paraId="22D61076"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(PO12, PO13, PO14).</w:t>
      </w:r>
    </w:p>
    <w:p w14:paraId="09423AF7"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8 – Communication, Teamwork, and Leadership</w:t>
      </w:r>
    </w:p>
    <w:p w14:paraId="4CDCBCC5"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Work effectively in multidisciplinary teams, communicate results using appropriate scientific terminology, and exhibit leadership in laboratory and outreach settings.</w:t>
      </w:r>
    </w:p>
    <w:p w14:paraId="4B429D65"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(PO4, PO7, PO8).</w:t>
      </w:r>
    </w:p>
    <w:p w14:paraId="559CFEA3"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PSO 9 – Lifelong Learning and Digital Competence</w:t>
      </w:r>
    </w:p>
    <w:p w14:paraId="02E18FFB"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Use digital, computational, and ICT tools for chemical analysis, modeling, and data visualization, fostering curiosity and readiness for lifelong learning.</w:t>
      </w:r>
    </w:p>
    <w:p w14:paraId="225D3EB7" w14:textId="77777777" w:rsidR="00E64BE3" w:rsidRPr="00E64BE3" w:rsidRDefault="00E64BE3" w:rsidP="00E64BE3">
      <w:pPr>
        <w:spacing w:after="0" w:line="360" w:lineRule="auto"/>
        <w:rPr>
          <w:rFonts w:ascii="Times New Roman" w:hAnsi="Times New Roman" w:cs="Times New Roman"/>
          <w:sz w:val="26"/>
          <w:szCs w:val="26"/>
        </w:rPr>
      </w:pPr>
      <w:r w:rsidRPr="00E64BE3">
        <w:rPr>
          <w:rFonts w:ascii="Times New Roman" w:hAnsi="Times New Roman" w:cs="Times New Roman"/>
          <w:sz w:val="26"/>
          <w:szCs w:val="26"/>
        </w:rPr>
        <w:t>(PO9, PO10).</w:t>
      </w:r>
    </w:p>
    <w:p w14:paraId="6E3BC49A" w14:textId="77777777" w:rsidR="00E64BE3" w:rsidRPr="00E64BE3" w:rsidRDefault="00E64BE3" w:rsidP="00E64BE3">
      <w:pPr>
        <w:spacing w:after="0" w:line="360" w:lineRule="auto"/>
        <w:rPr>
          <w:rFonts w:ascii="Times New Roman" w:hAnsi="Times New Roman" w:cs="Times New Roman"/>
          <w:sz w:val="26"/>
          <w:szCs w:val="26"/>
        </w:rPr>
      </w:pPr>
    </w:p>
    <w:p w14:paraId="5AEDDBD6" w14:textId="77777777" w:rsidR="005F33D1" w:rsidRPr="00E64BE3" w:rsidRDefault="005F33D1" w:rsidP="00E64BE3">
      <w:pPr>
        <w:spacing w:after="0" w:line="360" w:lineRule="auto"/>
        <w:rPr>
          <w:rFonts w:ascii="Times New Roman" w:hAnsi="Times New Roman" w:cs="Times New Roman"/>
          <w:sz w:val="26"/>
          <w:szCs w:val="26"/>
        </w:rPr>
      </w:pPr>
    </w:p>
    <w:sectPr w:rsidR="005F33D1" w:rsidRPr="00E64B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E04"/>
    <w:rsid w:val="00160E04"/>
    <w:rsid w:val="002534C1"/>
    <w:rsid w:val="005F33D1"/>
    <w:rsid w:val="00E64BE3"/>
    <w:rsid w:val="00F34B3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DFE4C"/>
  <w15:chartTrackingRefBased/>
  <w15:docId w15:val="{E4339E28-7CE4-47BC-8D55-218B85FF1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E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0E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0E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0E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0E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0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E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0E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0E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0E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0E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0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E04"/>
    <w:rPr>
      <w:rFonts w:eastAsiaTheme="majorEastAsia" w:cstheme="majorBidi"/>
      <w:color w:val="272727" w:themeColor="text1" w:themeTint="D8"/>
    </w:rPr>
  </w:style>
  <w:style w:type="paragraph" w:styleId="Title">
    <w:name w:val="Title"/>
    <w:basedOn w:val="Normal"/>
    <w:next w:val="Normal"/>
    <w:link w:val="TitleChar"/>
    <w:uiPriority w:val="10"/>
    <w:qFormat/>
    <w:rsid w:val="00160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E04"/>
    <w:pPr>
      <w:spacing w:before="160"/>
      <w:jc w:val="center"/>
    </w:pPr>
    <w:rPr>
      <w:i/>
      <w:iCs/>
      <w:color w:val="404040" w:themeColor="text1" w:themeTint="BF"/>
    </w:rPr>
  </w:style>
  <w:style w:type="character" w:customStyle="1" w:styleId="QuoteChar">
    <w:name w:val="Quote Char"/>
    <w:basedOn w:val="DefaultParagraphFont"/>
    <w:link w:val="Quote"/>
    <w:uiPriority w:val="29"/>
    <w:rsid w:val="00160E04"/>
    <w:rPr>
      <w:i/>
      <w:iCs/>
      <w:color w:val="404040" w:themeColor="text1" w:themeTint="BF"/>
    </w:rPr>
  </w:style>
  <w:style w:type="paragraph" w:styleId="ListParagraph">
    <w:name w:val="List Paragraph"/>
    <w:basedOn w:val="Normal"/>
    <w:uiPriority w:val="34"/>
    <w:qFormat/>
    <w:rsid w:val="00160E04"/>
    <w:pPr>
      <w:ind w:left="720"/>
      <w:contextualSpacing/>
    </w:pPr>
  </w:style>
  <w:style w:type="character" w:styleId="IntenseEmphasis">
    <w:name w:val="Intense Emphasis"/>
    <w:basedOn w:val="DefaultParagraphFont"/>
    <w:uiPriority w:val="21"/>
    <w:qFormat/>
    <w:rsid w:val="00160E04"/>
    <w:rPr>
      <w:i/>
      <w:iCs/>
      <w:color w:val="2F5496" w:themeColor="accent1" w:themeShade="BF"/>
    </w:rPr>
  </w:style>
  <w:style w:type="paragraph" w:styleId="IntenseQuote">
    <w:name w:val="Intense Quote"/>
    <w:basedOn w:val="Normal"/>
    <w:next w:val="Normal"/>
    <w:link w:val="IntenseQuoteChar"/>
    <w:uiPriority w:val="30"/>
    <w:qFormat/>
    <w:rsid w:val="00160E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0E04"/>
    <w:rPr>
      <w:i/>
      <w:iCs/>
      <w:color w:val="2F5496" w:themeColor="accent1" w:themeShade="BF"/>
    </w:rPr>
  </w:style>
  <w:style w:type="character" w:styleId="IntenseReference">
    <w:name w:val="Intense Reference"/>
    <w:basedOn w:val="DefaultParagraphFont"/>
    <w:uiPriority w:val="32"/>
    <w:qFormat/>
    <w:rsid w:val="00160E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Coutinho</dc:creator>
  <cp:keywords/>
  <dc:description/>
  <cp:lastModifiedBy>Daniel Coutinho</cp:lastModifiedBy>
  <cp:revision>2</cp:revision>
  <dcterms:created xsi:type="dcterms:W3CDTF">2026-10-10T08:48:00Z</dcterms:created>
  <dcterms:modified xsi:type="dcterms:W3CDTF">2026-10-10T08:51:00Z</dcterms:modified>
</cp:coreProperties>
</file>